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7763" w:type="dxa"/>
        <w:tblCellMar>
          <w:left w:w="0" w:type="dxa"/>
          <w:right w:w="0" w:type="dxa"/>
        </w:tblCellMar>
        <w:tblLook w:val="04A0" w:firstRow="1" w:lastRow="0" w:firstColumn="1" w:lastColumn="0" w:noHBand="0" w:noVBand="1"/>
      </w:tblPr>
      <w:tblGrid>
        <w:gridCol w:w="4276"/>
        <w:gridCol w:w="484"/>
        <w:gridCol w:w="1697"/>
        <w:gridCol w:w="210"/>
        <w:gridCol w:w="316"/>
        <w:gridCol w:w="1372"/>
        <w:gridCol w:w="725"/>
        <w:gridCol w:w="637"/>
        <w:gridCol w:w="177"/>
        <w:gridCol w:w="60"/>
        <w:gridCol w:w="145"/>
        <w:gridCol w:w="88"/>
        <w:gridCol w:w="464"/>
        <w:gridCol w:w="239"/>
        <w:gridCol w:w="394"/>
        <w:gridCol w:w="562"/>
        <w:gridCol w:w="248"/>
        <w:gridCol w:w="587"/>
        <w:gridCol w:w="298"/>
        <w:gridCol w:w="519"/>
        <w:gridCol w:w="219"/>
        <w:gridCol w:w="3518"/>
        <w:gridCol w:w="6"/>
        <w:gridCol w:w="1091"/>
        <w:gridCol w:w="4772"/>
        <w:gridCol w:w="2121"/>
        <w:gridCol w:w="789"/>
        <w:gridCol w:w="1749"/>
      </w:tblGrid>
      <w:tr w:rsidR="00C60CA2" w:rsidRPr="00397981" w:rsidTr="00C60CA2">
        <w:trPr>
          <w:trHeight w:val="300"/>
        </w:trPr>
        <w:tc>
          <w:tcPr>
            <w:tcW w:w="6466" w:type="dxa"/>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COMMUNE DE ST-BARNABE</w:t>
            </w:r>
          </w:p>
        </w:tc>
        <w:tc>
          <w:tcPr>
            <w:tcW w:w="1898" w:type="dxa"/>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2891"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398" w:type="dxa"/>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37" w:type="dxa"/>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9405"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4668" w:type="dxa"/>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NOTE DE PRESENTATION BREVE ET SYNTHETIQUE D</w:t>
            </w:r>
            <w:r w:rsidR="00C60CA2">
              <w:rPr>
                <w:rFonts w:ascii="Times New Roman" w:eastAsia="Times New Roman" w:hAnsi="Times New Roman" w:cs="Times New Roman"/>
                <w:sz w:val="24"/>
                <w:szCs w:val="24"/>
                <w:lang w:eastAsia="fr-FR"/>
              </w:rPr>
              <w:t>U BUDGET PRIMITIF POUR 2018</w:t>
            </w:r>
            <w:r w:rsidRPr="00397981">
              <w:rPr>
                <w:rFonts w:ascii="Times New Roman" w:eastAsia="Times New Roman" w:hAnsi="Times New Roman" w:cs="Times New Roman"/>
                <w:vanish/>
                <w:sz w:val="24"/>
                <w:szCs w:val="24"/>
                <w:lang w:eastAsia="fr-FR"/>
              </w:rPr>
              <w:t xml:space="preserve">U BUDGET PRIMITIF 2017 </w:t>
            </w:r>
          </w:p>
        </w:tc>
        <w:tc>
          <w:tcPr>
            <w:tcW w:w="2891"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0" w:type="auto"/>
            <w:gridSpan w:val="1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Sommaire :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 Le cadre général du budget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II. La section de fonctionnement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III. La section d’investissement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IV. Les données synthétiques du budget – Récapitulation </w:t>
            </w:r>
          </w:p>
        </w:tc>
        <w:tc>
          <w:tcPr>
            <w:tcW w:w="0" w:type="auto"/>
            <w:gridSpan w:val="1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annexe : extrait du CGCT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 Le cadre général du budget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8754"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2"/>
          <w:wAfter w:w="2543" w:type="dxa"/>
          <w:trHeight w:val="765"/>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L’article L 2313-1 du code général des collectivités territoriales prévoit qu’une présentation brève et synthétique retraçant les informations financières essentielles est jointe au budget primitif afin de permettre aux citoyens d’en saisir les enjeux.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754" w:type="dxa"/>
            <w:gridSpan w:val="2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2"/>
          <w:wAfter w:w="2543" w:type="dxa"/>
          <w:trHeight w:val="510"/>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La présente note répond à cette obligation pour la commune ; elle est disponible sur le site internet de la collectivité.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754" w:type="dxa"/>
            <w:gridSpan w:val="2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2"/>
          <w:wAfter w:w="2543" w:type="dxa"/>
          <w:trHeight w:val="1785"/>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 budget primitif retrace l’ensemble des dépenses et des recettes autorisées et prévues pour l’année 2018.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l’État dans les 15 jours qui suivent son approbation. </w:t>
            </w:r>
            <w:r w:rsidRPr="00397981">
              <w:rPr>
                <w:rFonts w:ascii="MS Mincho" w:eastAsia="MS Mincho" w:hAnsi="MS Mincho" w:cs="MS Mincho"/>
                <w:sz w:val="24"/>
                <w:szCs w:val="24"/>
                <w:lang w:eastAsia="fr-FR"/>
              </w:rPr>
              <w:t> </w:t>
            </w:r>
            <w:r w:rsidRPr="00397981">
              <w:rPr>
                <w:rFonts w:ascii="Times New Roman" w:eastAsia="Times New Roman" w:hAnsi="Times New Roman" w:cs="Times New Roman"/>
                <w:sz w:val="24"/>
                <w:szCs w:val="24"/>
                <w:lang w:eastAsia="fr-FR"/>
              </w:rPr>
              <w:t xml:space="preserve">Par cet acte, le maire, ordonnateur, est autorisé à effectuer les opérations de recettes et de dépenses inscrites au budget, pour la période qui s’étend du 1er janvier au 31 décembre de l’année civile.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754" w:type="dxa"/>
            <w:gridSpan w:val="2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2"/>
          <w:wAfter w:w="2543" w:type="dxa"/>
          <w:trHeight w:val="510"/>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 budget 2018 a été voté le 23 mars 2018 par le conseil municipal. Il peut être consulté sur simple demande au secrétariat de la mairie aux heures d’ouvertures des bureaux. Ce budget a été établi avec la volonté :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510"/>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de maitriser les dépenses de fonctionnement tout en maintenant le niveau et la qualité des services rendus aux habitants ;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de contenir la dette en limitant le recours à l’emprunt ; </w:t>
            </w:r>
          </w:p>
        </w:tc>
        <w:tc>
          <w:tcPr>
            <w:tcW w:w="16856" w:type="dxa"/>
            <w:gridSpan w:val="20"/>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300"/>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de mobiliser des subventions auprès du conseil départemental et de la Région chaque fois que possible. </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2"/>
          <w:wAfter w:w="2543" w:type="dxa"/>
          <w:trHeight w:val="765"/>
        </w:trPr>
        <w:tc>
          <w:tcPr>
            <w:tcW w:w="10068" w:type="dxa"/>
            <w:gridSpan w:val="11"/>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sections de fonctionnement et investissement structurent le budget de notre collectivité. D'un côté, la gestion des affaires courantes (ou section de fonctionnement), incluant notamment le versement des salaires des agents de la commune ; de l'autre, la section d'investissement qui a vocation à préparer l'avenir.</w:t>
            </w:r>
          </w:p>
        </w:tc>
        <w:tc>
          <w:tcPr>
            <w:tcW w:w="0" w:type="auto"/>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II. La section de fonctionnement </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 Généralités</w:t>
            </w: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budget de fonctionnement permet à notre collectivité d’assurer le quotidien.</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1020"/>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La section de fonctionnement regroupe l'ensemble des dépenses et des recettes nécessaires au fonctionnement courant et récurrent des services communaux. C’est un peu comme le budget d’une famille : le salaire des parents d’un côté et toutes les dépenses quotidiennes de l’autre (alimentation, loisirs, santé, impôts, remboursement des crédits…).</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Pour notre Commune : </w:t>
            </w: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765"/>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Les recettes de fonctionnement correspondent aux sommes encaissées au titre des prestations fournies à la population (cantine, garderie, mise à disposition de salles,…), aux impôts locaux, aux dotations versées par l'Etat, à diverses subventions.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Les recettes de fonctionnement 2018 représentent  1 235 025 euros. </w:t>
            </w:r>
          </w:p>
        </w:tc>
        <w:tc>
          <w:tcPr>
            <w:tcW w:w="147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765"/>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et les intérêts des emprunts à payer.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salaires représentent  404 508 € des dépenses de fonctionnement de la Commune.</w:t>
            </w:r>
          </w:p>
        </w:tc>
        <w:tc>
          <w:tcPr>
            <w:tcW w:w="147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dépenses de fonctionnement 2018 représentent 1 235 025 euros</w:t>
            </w:r>
          </w:p>
        </w:tc>
        <w:tc>
          <w:tcPr>
            <w:tcW w:w="147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765"/>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Au final, l'écart entre le volume total des recettes de fonctionnement et celui des dépenses de fonctionnement constitue l'autofinancement, c'est-à-dire la capacité de la collectivité à financer elle-même ses projets d'investissement sans recourir nécessairement à un emprunt nouveau.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510"/>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recettes de fonctionnement des communes ont beaucoup baissé du fait d’aides de l’Etat en constante diminution : 284 356 € en 2014 – 261 550 € en 2015 – 236 670 € en 2016 - 227 746 € en 2017</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1"/>
          <w:wAfter w:w="1752" w:type="dxa"/>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Il existe trois principaux types de recettes pour une Commune :</w:t>
            </w:r>
          </w:p>
        </w:tc>
        <w:tc>
          <w:tcPr>
            <w:tcW w:w="147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impôts locaux  (441 132 € en 2016 – 464 648 € en 2017 - prévision de 469 100 € en 2018)</w:t>
            </w:r>
          </w:p>
        </w:tc>
        <w:tc>
          <w:tcPr>
            <w:tcW w:w="147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dotations versées par l'Etat</w:t>
            </w:r>
          </w:p>
        </w:tc>
        <w:tc>
          <w:tcPr>
            <w:tcW w:w="19545" w:type="dxa"/>
            <w:gridSpan w:val="2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1"/>
          <w:wAfter w:w="1752" w:type="dxa"/>
          <w:trHeight w:val="510"/>
        </w:trPr>
        <w:tc>
          <w:tcPr>
            <w:tcW w:w="10860"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recettes encaissées au titre des prestations fournies à la population (restauration scolaire : 23 908 € en 2016 + garderie avec 457.50 € en 2016 - en 2017, restauration pour 22 040 € + garderie avec 2 163 €)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b) Les principales dépenses et recettes de la section :</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15"/>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Montant</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recettes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Montant</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Dépenses courantes </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270 486 €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Excédent brut reporté</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de personnel</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404 508 €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Recettes des services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57 588 €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Autres dépenses de gestion courante </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144 232 €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Impôts et taxes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738 344 €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Dépenses financières </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45 502 €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Dotations et participations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266 444 €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exceptionnelles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700 €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Autres recettes de gestion courante</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139 946 €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Autres dépenses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1 200 €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Recettes exceptionnelles </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6 700 €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imprévues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6 748 €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Recettes financières </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3 €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Total dépenses réelles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912 862€</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Autres recettes </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26 000 €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Charges (écritures d’ordre entre sections)</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71 649 €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Total recettes réelles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1 235 025 €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Virement à la section d’investissement</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290 000 €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Produits (écritures d’ordre entre sections</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15"/>
        </w:trPr>
        <w:tc>
          <w:tcPr>
            <w:tcW w:w="4282" w:type="dxa"/>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Total général </w:t>
            </w:r>
          </w:p>
        </w:tc>
        <w:tc>
          <w:tcPr>
            <w:tcW w:w="2394"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1 235 025 €</w:t>
            </w:r>
          </w:p>
        </w:tc>
        <w:tc>
          <w:tcPr>
            <w:tcW w:w="5142"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Total général</w:t>
            </w:r>
          </w:p>
        </w:tc>
        <w:tc>
          <w:tcPr>
            <w:tcW w:w="1653" w:type="dxa"/>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1 235 025 €</w:t>
            </w:r>
          </w:p>
        </w:tc>
        <w:tc>
          <w:tcPr>
            <w:tcW w:w="9624" w:type="dxa"/>
            <w:gridSpan w:val="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Default="00397981"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Default="008166A7" w:rsidP="00397981">
            <w:pPr>
              <w:spacing w:after="0" w:line="240" w:lineRule="auto"/>
              <w:jc w:val="both"/>
              <w:rPr>
                <w:rFonts w:ascii="Times New Roman" w:eastAsia="Times New Roman" w:hAnsi="Times New Roman" w:cs="Times New Roman"/>
                <w:sz w:val="20"/>
                <w:szCs w:val="20"/>
                <w:lang w:eastAsia="fr-FR"/>
              </w:rPr>
            </w:pPr>
          </w:p>
          <w:p w:rsidR="008166A7" w:rsidRPr="00397981" w:rsidRDefault="008166A7"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c) La fiscalité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taux des impôts locaux pour 2018 sont inchangés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concernant les ménages</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Taxe d’habitation : 14.93 %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Taxe foncière sur le bâti : 27.90 %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Taxe foncière sur le non bâti : 77.41 %</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Le produit attendu de la fiscalité locale s’élève à 469 100 €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 Les dotations de l’Etat.</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10621"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dotations attendues de l’Etat (DGF) s’élèveront à 191 106 €, soit une baisse de 1 965 € par rapport à l’an passé.</w:t>
            </w:r>
          </w:p>
        </w:tc>
        <w:tc>
          <w:tcPr>
            <w:tcW w:w="12474"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III. La section d’investissement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 Généralités</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275"/>
        </w:trPr>
        <w:tc>
          <w:tcPr>
            <w:tcW w:w="101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 Pour un foyer, l’investissement a trait à tout ce qui contribue à accroître le patrimoine familial : achat d’un bien immobilier et travaux sur ce bien, acquisition d’un véhicule, …</w:t>
            </w:r>
          </w:p>
        </w:tc>
        <w:tc>
          <w:tcPr>
            <w:tcW w:w="12939"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662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budget d’investissement de la Commune regroupe :</w:t>
            </w:r>
          </w:p>
        </w:tc>
        <w:tc>
          <w:tcPr>
            <w:tcW w:w="14731" w:type="dxa"/>
            <w:gridSpan w:val="19"/>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1020"/>
        </w:trPr>
        <w:tc>
          <w:tcPr>
            <w:tcW w:w="101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tc>
        <w:tc>
          <w:tcPr>
            <w:tcW w:w="12939"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1020"/>
        </w:trPr>
        <w:tc>
          <w:tcPr>
            <w:tcW w:w="10156" w:type="dxa"/>
            <w:gridSpan w:val="1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en recettes : deux types de recettes coexistent : les recettes dites patrimoniales telles que les recettes perçues en lien avec les permis de construire (Taxe d’aménagement)  et les subventions d'investissement perçues en lien avec les projets d'investissement retenus (par exemple : des subventions relatives à la construction d'un nouveau centre de loisirs, à la réfection du réseau d'éclairage public...). </w:t>
            </w:r>
          </w:p>
        </w:tc>
        <w:tc>
          <w:tcPr>
            <w:tcW w:w="12939"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b) Une vue d’ensemble de la section d’investissement  </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15"/>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montant</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Recettes </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Montant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Solde d’investissement reporté</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235 291 €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Virement de la section de fonctionnement</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53 000 €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Remboursement d’emprunts</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203 175 €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FCTVA</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47 191 €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Travaux de bâtiments</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153 731 €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Mise en réserves</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250 742 €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Travaux d’aménagements</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279 045 €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Cessions d’immobilisations </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10 475 €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Autres travaux SDE</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41 272 €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Taxe aménagement</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Achats matériels – terrains, … </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58 607 €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subventions</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Charges (écritures d’ordre entre sections)</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Emprunt </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484 000 €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Produits (écritures d’ordre entre section)</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76 640 €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15"/>
        </w:trPr>
        <w:tc>
          <w:tcPr>
            <w:tcW w:w="4767"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Total général </w:t>
            </w:r>
          </w:p>
        </w:tc>
        <w:tc>
          <w:tcPr>
            <w:tcW w:w="2225"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976 229 €</w:t>
            </w:r>
          </w:p>
        </w:tc>
        <w:tc>
          <w:tcPr>
            <w:tcW w:w="2098"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Total général</w:t>
            </w:r>
          </w:p>
        </w:tc>
        <w:tc>
          <w:tcPr>
            <w:tcW w:w="773" w:type="dxa"/>
            <w:gridSpan w:val="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976 229 €</w:t>
            </w:r>
          </w:p>
        </w:tc>
        <w:tc>
          <w:tcPr>
            <w:tcW w:w="7352" w:type="dxa"/>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6"/>
          <w:wAfter w:w="10548" w:type="dxa"/>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0749" w:type="dxa"/>
            <w:gridSpan w:val="1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gridAfter w:val="6"/>
          <w:wAfter w:w="10548" w:type="dxa"/>
          <w:trHeight w:val="300"/>
        </w:trPr>
        <w:tc>
          <w:tcPr>
            <w:tcW w:w="9716" w:type="dxa"/>
            <w:gridSpan w:val="8"/>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c) Les principaux projets de l’année 2018 sont les suivants :  </w:t>
            </w:r>
          </w:p>
        </w:tc>
        <w:tc>
          <w:tcPr>
            <w:tcW w:w="7499"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rue </w:t>
            </w:r>
            <w:proofErr w:type="spellStart"/>
            <w:r w:rsidRPr="00397981">
              <w:rPr>
                <w:rFonts w:ascii="Times New Roman" w:eastAsia="Times New Roman" w:hAnsi="Times New Roman" w:cs="Times New Roman"/>
                <w:sz w:val="24"/>
                <w:szCs w:val="24"/>
                <w:lang w:eastAsia="fr-FR"/>
              </w:rPr>
              <w:t>Gl</w:t>
            </w:r>
            <w:proofErr w:type="spellEnd"/>
            <w:r w:rsidRPr="00397981">
              <w:rPr>
                <w:rFonts w:ascii="Times New Roman" w:eastAsia="Times New Roman" w:hAnsi="Times New Roman" w:cs="Times New Roman"/>
                <w:sz w:val="24"/>
                <w:szCs w:val="24"/>
                <w:lang w:eastAsia="fr-FR"/>
              </w:rPr>
              <w:t xml:space="preserve"> de Gaulle et les réseaux EP et EU</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Abords de l'étang et parking</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Liaisons douces entre les pôles de loisirs</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Accessibilité et réhabilitation de la mairie et bibliothèque</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 Les subventions d’investissements prévues : dossiers en cours d’instruction</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DETR pour la rue </w:t>
            </w:r>
            <w:proofErr w:type="spellStart"/>
            <w:r w:rsidRPr="00397981">
              <w:rPr>
                <w:rFonts w:ascii="Times New Roman" w:eastAsia="Times New Roman" w:hAnsi="Times New Roman" w:cs="Times New Roman"/>
                <w:sz w:val="24"/>
                <w:szCs w:val="24"/>
                <w:lang w:eastAsia="fr-FR"/>
              </w:rPr>
              <w:t>Gl</w:t>
            </w:r>
            <w:proofErr w:type="spellEnd"/>
            <w:r w:rsidRPr="00397981">
              <w:rPr>
                <w:rFonts w:ascii="Times New Roman" w:eastAsia="Times New Roman" w:hAnsi="Times New Roman" w:cs="Times New Roman"/>
                <w:sz w:val="24"/>
                <w:szCs w:val="24"/>
                <w:lang w:eastAsia="fr-FR"/>
              </w:rPr>
              <w:t xml:space="preserve"> de Gaulle</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la Région et FEADER : pour les liaisons douces et la rue </w:t>
            </w:r>
            <w:proofErr w:type="spellStart"/>
            <w:r w:rsidRPr="00397981">
              <w:rPr>
                <w:rFonts w:ascii="Times New Roman" w:eastAsia="Times New Roman" w:hAnsi="Times New Roman" w:cs="Times New Roman"/>
                <w:sz w:val="24"/>
                <w:szCs w:val="24"/>
                <w:lang w:eastAsia="fr-FR"/>
              </w:rPr>
              <w:t>Gl</w:t>
            </w:r>
            <w:proofErr w:type="spellEnd"/>
            <w:r w:rsidRPr="00397981">
              <w:rPr>
                <w:rFonts w:ascii="Times New Roman" w:eastAsia="Times New Roman" w:hAnsi="Times New Roman" w:cs="Times New Roman"/>
                <w:sz w:val="24"/>
                <w:szCs w:val="24"/>
                <w:lang w:eastAsia="fr-FR"/>
              </w:rPr>
              <w:t xml:space="preserve"> de Gaulle - les abords de l'étang</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du Département : enrobé de la rue </w:t>
            </w:r>
            <w:proofErr w:type="spellStart"/>
            <w:r w:rsidRPr="00397981">
              <w:rPr>
                <w:rFonts w:ascii="Times New Roman" w:eastAsia="Times New Roman" w:hAnsi="Times New Roman" w:cs="Times New Roman"/>
                <w:sz w:val="24"/>
                <w:szCs w:val="24"/>
                <w:lang w:eastAsia="fr-FR"/>
              </w:rPr>
              <w:t>Gl</w:t>
            </w:r>
            <w:proofErr w:type="spellEnd"/>
            <w:r w:rsidRPr="00397981">
              <w:rPr>
                <w:rFonts w:ascii="Times New Roman" w:eastAsia="Times New Roman" w:hAnsi="Times New Roman" w:cs="Times New Roman"/>
                <w:sz w:val="24"/>
                <w:szCs w:val="24"/>
                <w:lang w:eastAsia="fr-FR"/>
              </w:rPr>
              <w:t xml:space="preserve"> de Gaulle</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Autres : amendes de police pour les travaux de sécurité</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397981" w:rsidRPr="00397981" w:rsidTr="00C60CA2">
        <w:trPr>
          <w:trHeight w:val="300"/>
        </w:trPr>
        <w:tc>
          <w:tcPr>
            <w:tcW w:w="27763" w:type="dxa"/>
            <w:gridSpan w:val="28"/>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IV. Les données synthétiques du budget – Récapitulation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a) Recettes et dépenses de fonctionnement :   1 235 025 €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Recettes et dépenses d’investissement    :       </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réparties comme suit :</w:t>
            </w: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dépenses : crédits reportés 2017              :    164 894 €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nouveaux crédits  2018       :    1 324 552 €  </w:t>
            </w:r>
          </w:p>
        </w:tc>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w:t>
            </w:r>
          </w:p>
        </w:tc>
        <w:tc>
          <w:tcPr>
            <w:tcW w:w="0" w:type="auto"/>
            <w:gridSpan w:val="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TOTAL              1 489 446 €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Recettes : crédits reportés 2017               :      61 291 €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nouveaux crédits 2018         :    1 428 155 €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TOTAL            :   1 489 446 €   </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b) Principaux ratios </w:t>
            </w: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réelles de fonctionnement / population = 665.30</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Produit des impositions directes / population = 357.70</w:t>
            </w: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Recettes réelles de fonctionnement / population = 992.05</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8364" w:type="dxa"/>
            <w:gridSpan w:val="6"/>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brutes d’équipement / population : 242.10</w:t>
            </w:r>
          </w:p>
        </w:tc>
        <w:tc>
          <w:tcPr>
            <w:tcW w:w="19399" w:type="dxa"/>
            <w:gridSpan w:val="22"/>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DGF / population = 175.32</w:t>
            </w: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de personnel / dépenses réelles de fonctionnement = 0.48</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Dépenses de fonctionnement et </w:t>
            </w:r>
            <w:proofErr w:type="spellStart"/>
            <w:r w:rsidRPr="00397981">
              <w:rPr>
                <w:rFonts w:ascii="Times New Roman" w:eastAsia="Times New Roman" w:hAnsi="Times New Roman" w:cs="Times New Roman"/>
                <w:sz w:val="24"/>
                <w:szCs w:val="24"/>
                <w:lang w:eastAsia="fr-FR"/>
              </w:rPr>
              <w:t>remb</w:t>
            </w:r>
            <w:proofErr w:type="spellEnd"/>
            <w:r w:rsidRPr="00397981">
              <w:rPr>
                <w:rFonts w:ascii="Times New Roman" w:eastAsia="Times New Roman" w:hAnsi="Times New Roman" w:cs="Times New Roman"/>
                <w:sz w:val="24"/>
                <w:szCs w:val="24"/>
                <w:lang w:eastAsia="fr-FR"/>
              </w:rPr>
              <w:t>. en capital / dépenses réelles de fonctionnement = 0.82</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Dépenses d’équipement brut / recettes réelles de fonctionnement = 0.24</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Encours de la dette / recettes réelles de fonctionnement = 1.28</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c) Etat de la dette </w:t>
            </w:r>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capital restant dû par la Commune baisse depuis 2015 avec</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En </w:t>
            </w:r>
            <w:proofErr w:type="gramStart"/>
            <w:r w:rsidRPr="00397981">
              <w:rPr>
                <w:rFonts w:ascii="Times New Roman" w:eastAsia="Times New Roman" w:hAnsi="Times New Roman" w:cs="Times New Roman"/>
                <w:sz w:val="24"/>
                <w:szCs w:val="24"/>
                <w:lang w:eastAsia="fr-FR"/>
              </w:rPr>
              <w:t>2015  :</w:t>
            </w:r>
            <w:proofErr w:type="gramEnd"/>
            <w:r w:rsidRPr="00397981">
              <w:rPr>
                <w:rFonts w:ascii="Times New Roman" w:eastAsia="Times New Roman" w:hAnsi="Times New Roman" w:cs="Times New Roman"/>
                <w:sz w:val="24"/>
                <w:szCs w:val="24"/>
                <w:lang w:eastAsia="fr-FR"/>
              </w:rPr>
              <w:t xml:space="preserve"> 2 016 974 €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En 2016 : 1 836 965 €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En 2017 : 1 850 207 €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           En 2018 : 1 663 032 €</w:t>
            </w:r>
          </w:p>
        </w:tc>
        <w:tc>
          <w:tcPr>
            <w:tcW w:w="21297" w:type="dxa"/>
            <w:gridSpan w:val="2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1020"/>
        </w:trPr>
        <w:tc>
          <w:tcPr>
            <w:tcW w:w="0" w:type="auto"/>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bookmarkStart w:id="0" w:name="_GoBack"/>
            <w:bookmarkEnd w:id="0"/>
          </w:p>
        </w:tc>
        <w:tc>
          <w:tcPr>
            <w:tcW w:w="18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2891" w:type="dxa"/>
            <w:gridSpan w:val="9"/>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1398" w:type="dxa"/>
            <w:gridSpan w:val="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0"/>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397981" w:rsidRPr="00397981" w:rsidTr="00C60CA2">
        <w:trPr>
          <w:gridAfter w:val="6"/>
          <w:wAfter w:w="10548" w:type="dxa"/>
          <w:trHeight w:val="3075"/>
        </w:trPr>
        <w:tc>
          <w:tcPr>
            <w:tcW w:w="9716" w:type="dxa"/>
            <w:gridSpan w:val="8"/>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 xml:space="preserve">Nota : Pour les collectivités locales et leurs établissements (communes, départements, régions, EPCI, syndicats mixtes, établissements de coopération interdépartementale), les articles L 2121-26, L 3121-17, L 4132-16, L.5211-46, L 5421-5, L 5621-9 et L  5721-6 du code général des collectivités territoriales (CGCT) prévoient le droit pour toute personne physique ou morale de demander communication des procès-verbaux, budgets, comptes et arrêtés. </w:t>
            </w:r>
          </w:p>
        </w:tc>
        <w:tc>
          <w:tcPr>
            <w:tcW w:w="7499" w:type="dxa"/>
            <w:gridSpan w:val="14"/>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Fait à ST-BARNABE, le 24 mars 2018</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0"/>
                <w:szCs w:val="20"/>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Maire,</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trHeight w:val="300"/>
        </w:trPr>
        <w:tc>
          <w:tcPr>
            <w:tcW w:w="11255" w:type="dxa"/>
            <w:gridSpan w:val="15"/>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Georges LE FRANC</w:t>
            </w:r>
          </w:p>
        </w:tc>
        <w:tc>
          <w:tcPr>
            <w:tcW w:w="0" w:type="auto"/>
            <w:gridSpan w:val="13"/>
            <w:vAlign w:val="center"/>
            <w:hideMark/>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510"/>
        </w:trPr>
        <w:tc>
          <w:tcPr>
            <w:tcW w:w="12066" w:type="dxa"/>
            <w:gridSpan w:val="17"/>
            <w:vAlign w:val="center"/>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c>
          <w:tcPr>
            <w:tcW w:w="0" w:type="auto"/>
            <w:gridSpan w:val="8"/>
            <w:vAlign w:val="center"/>
          </w:tcPr>
          <w:p w:rsidR="00397981" w:rsidRPr="00397981" w:rsidRDefault="00397981" w:rsidP="00397981">
            <w:pPr>
              <w:spacing w:after="0" w:line="240" w:lineRule="auto"/>
              <w:jc w:val="both"/>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0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Annexe </w:t>
            </w:r>
          </w:p>
        </w:tc>
        <w:tc>
          <w:tcPr>
            <w:tcW w:w="13172" w:type="dxa"/>
            <w:gridSpan w:val="1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0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00"/>
        </w:trPr>
        <w:tc>
          <w:tcPr>
            <w:tcW w:w="17221"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Code général des collectivités territoriales – extrait de l’article L2313-1</w:t>
            </w: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76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205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budgets de la commune restent déposés à la mairie et, le cas échéant, à la mairie annexe où ils sont mis sur place à la disposition du public dans les quinze jours qui suivent leur adoption ou éventuellement leur notification après règlement par le représentant de l'Etat dans le département.</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18314" w:type="dxa"/>
            <w:gridSpan w:val="24"/>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 public est avisé de la mise à disposition de ces documents par tout moyen de publicité au choix du maire.</w:t>
            </w: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129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Dans les communes de 3 500 habitants et plus, les documents budgétaires, sans préjudice des dispositions de l'article L2343-2, sont assortis en annexe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17221"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 De données synthétiques sur la situation financière de la commune ;</w:t>
            </w: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2° De la liste des concours attribués par la commune sous forme de prestations en nature ou de subventions. Ce document est joint au seul compte administratif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54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3° De la présentation agrégée des résultats afférents au dernier exercice connu du budget principal et des budgets annexes de la commune. Ce document est joint au seul compte administratif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00"/>
        </w:trPr>
        <w:tc>
          <w:tcPr>
            <w:tcW w:w="17221"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4° De la liste des organismes pour lesquels la commune :</w:t>
            </w: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30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a) détient une part du capital ;</w:t>
            </w:r>
          </w:p>
        </w:tc>
        <w:tc>
          <w:tcPr>
            <w:tcW w:w="13172" w:type="dxa"/>
            <w:gridSpan w:val="1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b) a garanti un emprunt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c) a versé une subvention supérieure à 75 000 euros ou représentant plus de 50 % du produit figurant au compte de résultat de l'organisme.</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03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La liste indique le nom, la raison sociale et la nature juridique de l'organisme ainsi que la nature et le montant de l'engagement financier de la commune ;</w:t>
            </w:r>
          </w:p>
        </w:tc>
        <w:tc>
          <w:tcPr>
            <w:tcW w:w="13172" w:type="dxa"/>
            <w:gridSpan w:val="15"/>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5° Supprimé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78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6° D'un tableau retraçant l'encours des emprunts garantis par la commune ainsi que l'échéancier de leur amortissement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10144" w:type="dxa"/>
            <w:gridSpan w:val="6"/>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12951" w:type="dxa"/>
            <w:gridSpan w:val="1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7° De la liste des délégataires de service public ;</w:t>
            </w: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8° Du tableau des acquisitions et cessions immobilières mentionné au c de l'article L 300-5 du code de l'urbanisme ;</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54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9° D'une annexe retraçant l'ensemble des engagements financiers de la collectivité territoriale ou de l'établissement public résultant des contrats de partenariat prévus à l'article L1414-1;</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765"/>
        </w:trPr>
        <w:tc>
          <w:tcPr>
            <w:tcW w:w="17221"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10° D'une annexe retraçant la dette liée à la part investissements des contrats de partenariat.</w:t>
            </w: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Lorsqu'une décision modificative ou le budget supplémentaire a pour effet de modifier le contenu de l'une des annexes, celle-ci doit être à nouveau produite pour le vote de la décision modificative ou du budget supplémentaire.</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53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Dans ces mêmes communes de 3 500 habitants et plus, les documents visés au 1° font l'objet d'une insertion dans une publication locale diffusée dans la commune.</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27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communes et leurs groupements de 10 000 habitants et plus ayant institué la taxe d'enlèvement des ordures ménagères et qui assurent au moins la collecte des déchets ménagers retracent dans un état spécial annexé aux documents budgétaires, d'une part, le produit perçu de la taxe précitée et les dotations et participations reçues pour le financement du service, liées notamment aux ventes d'énergie ou de matériaux, aux soutiens reçus des éco-organismes ou aux aides publiques, et d'autre part, les dépenses, directes et indirectes, afférentes à l'exercice de la compétence susmentionnée.</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Les établissements publics de coopération intercommunale et les communes signataires de contrats de ville présentent annuellement un état, annexé à leur budget, retraçant les recettes et les dépenses correspondant aux engagements pris dans le cadre de ces contrats. Y figurent l'ensemble des actions conduites et des moyens apportés par les différentes parties au contrat, notamment les départements et les régions, en distinguant les moyens qui relèvent de la politique de la ville de ceux qui relèvent du droit commun.</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510"/>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Pour l'ensemble des communes, les documents budgétaires sont assortis d'états portant sur la situation patrimoniale et financière de la collectivité ainsi que sur ses différents engagements.</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127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Une présentation brève et synthétique retraçant les informations financières essentielles est jointe au budget primitif et au compte administratif afin de permettre aux citoyens d'en saisir les enjeux.</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1093" w:type="dxa"/>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585"/>
        </w:trPr>
        <w:tc>
          <w:tcPr>
            <w:tcW w:w="9923" w:type="dxa"/>
            <w:gridSpan w:val="10"/>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La présentation prévue au précédent alinéa ainsi que le rapport adressé au conseil municipal à l'occasion du débat sur les orientations budgétaires de l'exercice prévu à l'article L2312-1, la note explicative de synthèse annexée au budget primitif et celle annexée au compte administratif, conformément à l'article L2121-12, sont mis en ligne sur le site internet de la commune, lorsqu'il existe, après l'adoption par le conseil municipal des délibérations auxquelles ils se rapportent et dans des conditions prévues par décret en Conseil d'Etat.</w:t>
            </w:r>
          </w:p>
        </w:tc>
        <w:tc>
          <w:tcPr>
            <w:tcW w:w="3028" w:type="dxa"/>
            <w:gridSpan w:val="9"/>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c>
          <w:tcPr>
            <w:tcW w:w="4270" w:type="dxa"/>
            <w:gridSpan w:val="4"/>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0"/>
                <w:szCs w:val="20"/>
                <w:lang w:eastAsia="fr-FR"/>
              </w:rPr>
            </w:pPr>
          </w:p>
        </w:tc>
      </w:tr>
      <w:tr w:rsidR="00C60CA2" w:rsidRPr="00397981" w:rsidTr="00C60CA2">
        <w:trPr>
          <w:gridAfter w:val="3"/>
          <w:wAfter w:w="4668" w:type="dxa"/>
          <w:trHeight w:val="300"/>
        </w:trPr>
        <w:tc>
          <w:tcPr>
            <w:tcW w:w="17221" w:type="dxa"/>
            <w:gridSpan w:val="23"/>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r w:rsidRPr="00397981">
              <w:rPr>
                <w:rFonts w:ascii="Times New Roman" w:eastAsia="Times New Roman" w:hAnsi="Times New Roman" w:cs="Times New Roman"/>
                <w:sz w:val="24"/>
                <w:szCs w:val="24"/>
                <w:lang w:eastAsia="fr-FR"/>
              </w:rPr>
              <w:t>Un décret en Conseil d'Etat fixe les conditions d'application du présent article.</w:t>
            </w:r>
          </w:p>
        </w:tc>
        <w:tc>
          <w:tcPr>
            <w:tcW w:w="0" w:type="auto"/>
            <w:gridSpan w:val="2"/>
            <w:vAlign w:val="center"/>
            <w:hideMark/>
          </w:tcPr>
          <w:p w:rsidR="00397981" w:rsidRPr="00397981" w:rsidRDefault="00397981" w:rsidP="00397981">
            <w:pPr>
              <w:spacing w:after="0" w:line="240" w:lineRule="auto"/>
              <w:rPr>
                <w:rFonts w:ascii="Times New Roman" w:eastAsia="Times New Roman" w:hAnsi="Times New Roman" w:cs="Times New Roman"/>
                <w:sz w:val="24"/>
                <w:szCs w:val="24"/>
                <w:lang w:eastAsia="fr-FR"/>
              </w:rPr>
            </w:pPr>
          </w:p>
        </w:tc>
      </w:tr>
    </w:tbl>
    <w:p w:rsidR="00397981" w:rsidRDefault="00397981" w:rsidP="00397981">
      <w:pPr>
        <w:spacing w:after="0"/>
      </w:pPr>
    </w:p>
    <w:sectPr w:rsidR="00397981" w:rsidSect="003979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81"/>
    <w:rsid w:val="00397981"/>
    <w:rsid w:val="008166A7"/>
    <w:rsid w:val="00C60CA2"/>
    <w:rsid w:val="00DA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CFBD-0E4A-4E80-AB8D-29D459C7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9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5834">
      <w:bodyDiv w:val="1"/>
      <w:marLeft w:val="0"/>
      <w:marRight w:val="0"/>
      <w:marTop w:val="0"/>
      <w:marBottom w:val="0"/>
      <w:divBdr>
        <w:top w:val="none" w:sz="0" w:space="0" w:color="auto"/>
        <w:left w:val="none" w:sz="0" w:space="0" w:color="auto"/>
        <w:bottom w:val="none" w:sz="0" w:space="0" w:color="auto"/>
        <w:right w:val="none" w:sz="0" w:space="0" w:color="auto"/>
      </w:divBdr>
    </w:div>
    <w:div w:id="17319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2350</Words>
  <Characters>12929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3</cp:revision>
  <cp:lastPrinted>2018-03-27T12:55:00Z</cp:lastPrinted>
  <dcterms:created xsi:type="dcterms:W3CDTF">2018-03-27T12:54:00Z</dcterms:created>
  <dcterms:modified xsi:type="dcterms:W3CDTF">2018-03-27T13:05:00Z</dcterms:modified>
</cp:coreProperties>
</file>